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4"/>
          <w:szCs w:val="44"/>
          <w:lang w:val="en-US" w:eastAsia="zh-CN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为了准确反映受检者身体的真实状况，请参加体检人员注意以下事项：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2.严禁弄虚作假、冒名顶替；如隐瞒病史影响体检结果的，后果自负。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3.体检前一天请注意休息，勿熬夜，不要饮酒，避免剧烈运动。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4.请在受检前禁食8-12小时。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5.女性受检者月经期间请勿做妇科及尿液检查，待经期完毕后再补检；怀孕或可能已受孕者，事先告知医护人员并于体检报到时提交书面情况说明给织金县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总工会社会工作者招聘工作领导小组</w:t>
      </w:r>
      <w:r>
        <w:rPr>
          <w:rFonts w:hint="eastAsia" w:ascii="仿宋GB2312" w:hAnsi="仿宋GB2312" w:eastAsia="仿宋GB2312" w:cs="仿宋GB2312"/>
          <w:sz w:val="32"/>
          <w:szCs w:val="32"/>
        </w:rPr>
        <w:t>办公室，勿做X光检查。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6.请配合医生认真检查所有项目，勿漏检。若自动放弃某一检查项目，将会影响对您的录用。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7.体检医师可根据实际需要，增加必要的相应检查、检验项目，产生费用自理。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GB2312" w:hAnsi="仿宋GB2312" w:eastAsia="仿宋GB2312" w:cs="仿宋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32"/>
          <w:szCs w:val="3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F33C6"/>
    <w:rsid w:val="54D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2019-08-22T07:12:00Z</dcterms:created>
  <dc:creator>陈晴</dc:creator>
  <cp:lastModifiedBy>陈晴</cp:lastModifiedBy>
  <dcterms:modified xsi:type="dcterms:W3CDTF">2019-08-22T07:13:14Z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